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30"/>
          <w:szCs w:val="30"/>
        </w:rPr>
      </w:pPr>
      <w:r>
        <w:rPr>
          <w:rFonts w:hint="eastAsia" w:ascii="方正小标宋简体" w:hAnsi="方正小标宋简体" w:eastAsia="方正小标宋简体" w:cs="方正小标宋简体"/>
          <w:sz w:val="30"/>
          <w:szCs w:val="30"/>
          <w:lang w:eastAsia="zh-CN"/>
        </w:rPr>
        <w:t>盈江县第一小学</w:t>
      </w:r>
      <w:r>
        <w:rPr>
          <w:rFonts w:hint="eastAsia" w:ascii="方正小标宋简体" w:hAnsi="方正小标宋简体" w:eastAsia="方正小标宋简体" w:cs="方正小标宋简体"/>
          <w:sz w:val="30"/>
          <w:szCs w:val="30"/>
          <w:lang w:val="en-US" w:eastAsia="zh-CN"/>
        </w:rPr>
        <w:t>2019</w:t>
      </w:r>
      <w:r>
        <w:rPr>
          <w:rFonts w:hint="eastAsia" w:ascii="方正小标宋简体" w:hAnsi="方正小标宋简体" w:eastAsia="方正小标宋简体" w:cs="方正小标宋简体"/>
          <w:sz w:val="30"/>
          <w:szCs w:val="30"/>
        </w:rPr>
        <w:t>年</w:t>
      </w:r>
    </w:p>
    <w:p>
      <w:pPr>
        <w:jc w:val="center"/>
        <w:rPr>
          <w:rFonts w:hint="eastAsia" w:ascii="方正小标宋简体" w:eastAsia="方正小标宋简体"/>
          <w:sz w:val="30"/>
          <w:szCs w:val="30"/>
        </w:rPr>
      </w:pPr>
      <w:r>
        <w:rPr>
          <w:rFonts w:hint="eastAsia" w:ascii="方正小标宋简体" w:hAnsi="方正小标宋简体" w:eastAsia="方正小标宋简体" w:cs="方正小标宋简体"/>
          <w:sz w:val="30"/>
          <w:szCs w:val="30"/>
        </w:rPr>
        <w:t>预算</w:t>
      </w:r>
      <w:r>
        <w:rPr>
          <w:rFonts w:hint="eastAsia" w:ascii="方正小标宋简体" w:hAnsi="方正小标宋简体" w:eastAsia="方正小标宋简体" w:cs="方正小标宋简体"/>
          <w:sz w:val="30"/>
          <w:szCs w:val="30"/>
          <w:lang w:eastAsia="zh-CN"/>
        </w:rPr>
        <w:t>公开</w:t>
      </w:r>
      <w:r>
        <w:rPr>
          <w:rFonts w:hint="eastAsia" w:ascii="方正小标宋简体" w:eastAsia="方正小标宋简体"/>
          <w:sz w:val="30"/>
          <w:szCs w:val="30"/>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val="en-US" w:eastAsia="zh-CN"/>
        </w:rPr>
        <w:t xml:space="preserve"> </w:t>
      </w:r>
      <w:r>
        <w:rPr>
          <w:rFonts w:hint="eastAsia" w:ascii="黑体" w:hAnsi="黑体" w:eastAsia="黑体"/>
          <w:sz w:val="30"/>
          <w:szCs w:val="30"/>
          <w:lang w:eastAsia="zh-CN"/>
        </w:rPr>
        <w:t>盈江县第一小学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盈江县第一小学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w:t>
      </w:r>
      <w:bookmarkStart w:id="0" w:name="_GoBack"/>
      <w:bookmarkEnd w:id="0"/>
      <w:r>
        <w:rPr>
          <w:rFonts w:hint="eastAsia" w:ascii="Times New Roman" w:hAnsi="Times New Roman" w:eastAsia="仿宋_GB2312"/>
          <w:sz w:val="30"/>
          <w:szCs w:val="30"/>
        </w:rPr>
        <w:t>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0"/>
          <w:szCs w:val="30"/>
        </w:rPr>
      </w:pPr>
      <w:r>
        <w:rPr>
          <w:rFonts w:hint="eastAsia" w:ascii="方正小标宋简体" w:eastAsia="方正小标宋简体"/>
          <w:kern w:val="0"/>
          <w:sz w:val="30"/>
          <w:szCs w:val="30"/>
          <w:lang w:eastAsia="zh-CN"/>
        </w:rPr>
        <w:t>盈江县</w:t>
      </w:r>
      <w:r>
        <w:rPr>
          <w:rFonts w:hint="eastAsia" w:ascii="黑体" w:hAnsi="黑体" w:eastAsia="黑体"/>
          <w:sz w:val="30"/>
          <w:szCs w:val="30"/>
          <w:lang w:eastAsia="zh-CN"/>
        </w:rPr>
        <w:t>第一小学</w:t>
      </w:r>
      <w:r>
        <w:rPr>
          <w:rFonts w:hint="eastAsia" w:ascii="方正小标宋简体" w:eastAsia="方正小标宋简体"/>
          <w:kern w:val="0"/>
          <w:sz w:val="30"/>
          <w:szCs w:val="30"/>
          <w:lang w:val="en-US" w:eastAsia="zh-CN"/>
        </w:rPr>
        <w:t>2019</w:t>
      </w:r>
      <w:r>
        <w:rPr>
          <w:rFonts w:hint="eastAsia" w:ascii="方正小标宋简体" w:eastAsia="方正小标宋简体"/>
          <w:kern w:val="0"/>
          <w:sz w:val="30"/>
          <w:szCs w:val="30"/>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盈江县第一小学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22</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盈江县第一小学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楷体_GB2312" w:eastAsia="楷体_GB2312"/>
          <w:b/>
          <w:kern w:val="0"/>
          <w:sz w:val="30"/>
          <w:szCs w:val="30"/>
        </w:rPr>
      </w:pPr>
      <w:r>
        <w:rPr>
          <w:rFonts w:hint="eastAsia" w:ascii="楷体_GB2312" w:eastAsia="楷体_GB2312"/>
          <w:kern w:val="0"/>
          <w:sz w:val="30"/>
          <w:szCs w:val="30"/>
        </w:rPr>
        <w:t>（一）部门主要职责</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楷体_GB2312" w:eastAsia="楷体_GB2312"/>
          <w:color w:val="auto"/>
          <w:kern w:val="0"/>
          <w:sz w:val="30"/>
          <w:szCs w:val="30"/>
        </w:rPr>
      </w:pPr>
      <w:r>
        <w:rPr>
          <w:rFonts w:hint="eastAsia" w:ascii="楷体_GB2312" w:eastAsia="楷体_GB2312"/>
          <w:color w:val="auto"/>
          <w:kern w:val="0"/>
          <w:sz w:val="30"/>
          <w:szCs w:val="30"/>
        </w:rPr>
        <w:t>（二）机构设置情况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color w:val="auto"/>
          <w:kern w:val="0"/>
          <w:sz w:val="30"/>
          <w:szCs w:val="30"/>
          <w:lang w:val="en-US" w:eastAsia="zh-CN" w:bidi="ar-SA"/>
        </w:rPr>
        <w:t>盈江县第一小学设置校长室1个、办公室1个、财务室1个、党务室1个、教务室1个、教科室1个、总务室1个、政教处1个、校医室1个、图书室1个、科学实验室1个、营养餐室1个，共12个职能科室。</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楷体_GB2312" w:eastAsia="楷体_GB2312"/>
          <w:color w:val="auto"/>
          <w:kern w:val="0"/>
          <w:sz w:val="30"/>
          <w:szCs w:val="30"/>
        </w:rPr>
      </w:pPr>
      <w:r>
        <w:rPr>
          <w:rFonts w:ascii="楷体_GB2312" w:eastAsia="楷体_GB2312"/>
          <w:color w:val="auto"/>
          <w:kern w:val="0"/>
          <w:sz w:val="30"/>
          <w:szCs w:val="30"/>
        </w:rPr>
        <w:t>（</w:t>
      </w:r>
      <w:r>
        <w:rPr>
          <w:rFonts w:hint="eastAsia" w:ascii="楷体_GB2312" w:eastAsia="楷体_GB2312"/>
          <w:color w:val="auto"/>
          <w:kern w:val="0"/>
          <w:sz w:val="30"/>
          <w:szCs w:val="30"/>
        </w:rPr>
        <w:t>三</w:t>
      </w:r>
      <w:r>
        <w:rPr>
          <w:rFonts w:ascii="楷体_GB2312" w:eastAsia="楷体_GB2312"/>
          <w:color w:val="auto"/>
          <w:kern w:val="0"/>
          <w:sz w:val="30"/>
          <w:szCs w:val="30"/>
        </w:rPr>
        <w:t>）重点工作概述</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00" w:firstLineChars="200"/>
        <w:textAlignment w:val="auto"/>
        <w:outlineLvl w:val="9"/>
        <w:rPr>
          <w:rFonts w:hint="eastAsia" w:ascii="仿宋_GB2312" w:hAnsi="仿宋_GB2312" w:eastAsia="仿宋_GB2312" w:cs="仿宋_GB2312"/>
          <w:b/>
          <w:sz w:val="30"/>
          <w:szCs w:val="30"/>
        </w:rPr>
      </w:pPr>
      <w:r>
        <w:rPr>
          <w:rFonts w:hint="eastAsia"/>
          <w:sz w:val="30"/>
          <w:szCs w:val="30"/>
          <w:lang w:val="en-US" w:eastAsia="zh-CN"/>
        </w:rPr>
        <w:t>1、</w:t>
      </w:r>
      <w:r>
        <w:rPr>
          <w:rFonts w:hint="eastAsia" w:ascii="仿宋_GB2312" w:hAnsi="仿宋_GB2312" w:eastAsia="仿宋_GB2312" w:cs="仿宋_GB2312"/>
          <w:b/>
          <w:sz w:val="30"/>
          <w:szCs w:val="30"/>
        </w:rPr>
        <w:t xml:space="preserve">加强学校领导班子建设 </w:t>
      </w:r>
    </w:p>
    <w:p>
      <w:pPr>
        <w:keepNext w:val="0"/>
        <w:keepLines w:val="0"/>
        <w:pageBreakBefore w:val="0"/>
        <w:kinsoku/>
        <w:wordWrap/>
        <w:overflowPunct/>
        <w:topLinePunct w:val="0"/>
        <w:autoSpaceDE/>
        <w:autoSpaceDN/>
        <w:bidi w:val="0"/>
        <w:adjustRightInd/>
        <w:snapToGrid/>
        <w:spacing w:line="500" w:lineRule="exact"/>
        <w:ind w:firstLine="602" w:firstLineChars="200"/>
        <w:textAlignment w:val="auto"/>
        <w:outlineLvl w:val="9"/>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2、</w:t>
      </w:r>
      <w:r>
        <w:rPr>
          <w:rFonts w:hint="eastAsia" w:ascii="仿宋_GB2312" w:hAnsi="仿宋_GB2312" w:eastAsia="仿宋_GB2312" w:cs="仿宋_GB2312"/>
          <w:b/>
          <w:sz w:val="30"/>
          <w:szCs w:val="30"/>
        </w:rPr>
        <w:t>加强学校安全工作</w:t>
      </w:r>
    </w:p>
    <w:p>
      <w:pPr>
        <w:keepNext w:val="0"/>
        <w:keepLines w:val="0"/>
        <w:pageBreakBefore w:val="0"/>
        <w:widowControl w:val="0"/>
        <w:kinsoku/>
        <w:wordWrap/>
        <w:overflowPunct/>
        <w:topLinePunct w:val="0"/>
        <w:autoSpaceDE/>
        <w:autoSpaceDN/>
        <w:bidi w:val="0"/>
        <w:adjustRightInd/>
        <w:snapToGrid/>
        <w:ind w:left="596" w:leftChars="284" w:firstLine="0" w:firstLineChars="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）加强领导、增强安全防范意识。</w:t>
      </w:r>
      <w:r>
        <w:rPr>
          <w:rFonts w:hint="eastAsia" w:ascii="仿宋_GB2312" w:hAnsi="仿宋_GB2312" w:eastAsia="仿宋_GB2312" w:cs="仿宋_GB2312"/>
          <w:sz w:val="30"/>
          <w:szCs w:val="30"/>
        </w:rPr>
        <w:br w:type="textWrapping"/>
      </w: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）制度健全，保障有力</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建立安全保卫工作领导责任制和责任追究制</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层层签订责任书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不断完善学校安全保卫工作规章制度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建立学校安全意外事故处置预案制度</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校建立事故处置领导小组，制定了一系列安全事故处置预案。　</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）齐抓共管　群防群治　</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学校安全教育工作是一项社会性的系统工程，需要社会、学校、家庭的密切配合。我们积极与公安、交警、消防、卫生、城建、社区等部门通力合作，做好学校安全保卫工作，学校组织开展一系列道德、法制教育活动，取得了良好的教育效果。</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）加强安全管理和思想教育，提高自护能力。　</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认真做好安全教育工作。有针对地扎实地开展教育和防范工作</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认真做好安全教育周工作</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开展丰富多彩的教育活动</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根据季节的不同对有关安全情况进行重点教育检查，做到防患于未然。交通安全、消防安全、饮食卫生安全、防溺水、防自然灾害等教育常抓不懈，发现问题及时解决。</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）加强检查，及时整改</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对存在的安全隐患写出整改意见并及时整改。　</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）加强实验药品的管理与使用</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7</w:t>
      </w:r>
      <w:r>
        <w:rPr>
          <w:rFonts w:hint="eastAsia" w:ascii="仿宋_GB2312" w:hAnsi="仿宋_GB2312" w:eastAsia="仿宋_GB2312" w:cs="仿宋_GB2312"/>
          <w:sz w:val="30"/>
          <w:szCs w:val="30"/>
        </w:rPr>
        <w:t>）创平安校园，推动学校综合治理健康发展</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认真开展禁毒、防艾教育</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调处矛盾共建和谐</w:t>
      </w:r>
      <w:r>
        <w:rPr>
          <w:rFonts w:hint="eastAsia" w:ascii="仿宋_GB2312" w:hAnsi="仿宋_GB2312" w:eastAsia="仿宋_GB2312" w:cs="仿宋_GB2312"/>
          <w:sz w:val="30"/>
          <w:szCs w:val="30"/>
          <w:lang w:eastAsia="zh-CN"/>
        </w:rPr>
        <w:t>。</w:t>
      </w:r>
    </w:p>
    <w:p>
      <w:pPr>
        <w:keepNext w:val="0"/>
        <w:keepLines w:val="0"/>
        <w:pageBreakBefore w:val="0"/>
        <w:kinsoku/>
        <w:wordWrap/>
        <w:overflowPunct/>
        <w:topLinePunct w:val="0"/>
        <w:autoSpaceDE/>
        <w:autoSpaceDN/>
        <w:bidi w:val="0"/>
        <w:adjustRightInd/>
        <w:snapToGrid/>
        <w:spacing w:line="500" w:lineRule="exact"/>
        <w:ind w:firstLine="602" w:firstLineChars="200"/>
        <w:textAlignment w:val="auto"/>
        <w:outlineLvl w:val="9"/>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4</w:t>
      </w:r>
      <w:r>
        <w:rPr>
          <w:rFonts w:hint="eastAsia" w:ascii="仿宋_GB2312" w:hAnsi="仿宋_GB2312" w:eastAsia="仿宋_GB2312" w:cs="仿宋_GB2312"/>
          <w:b/>
          <w:sz w:val="30"/>
          <w:szCs w:val="30"/>
        </w:rPr>
        <w:t>、加强学校教学工作</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b/>
          <w:bCs/>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w:t>
      </w:r>
      <w:r>
        <w:rPr>
          <w:rFonts w:hint="eastAsia" w:ascii="仿宋_GB2312" w:hAnsi="仿宋_GB2312" w:eastAsia="仿宋_GB2312" w:cs="仿宋_GB2312"/>
          <w:b/>
          <w:bCs/>
          <w:sz w:val="30"/>
          <w:szCs w:val="30"/>
        </w:rPr>
        <w:t xml:space="preserve">规范课程设置，深化课程改革。 </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严格执行课程方案，坚持按规定开齐开足课程。</w:t>
      </w:r>
    </w:p>
    <w:p>
      <w:pPr>
        <w:keepNext w:val="0"/>
        <w:keepLines w:val="0"/>
        <w:pageBreakBefore w:val="0"/>
        <w:kinsoku/>
        <w:wordWrap/>
        <w:overflowPunct/>
        <w:topLinePunct w:val="0"/>
        <w:autoSpaceDE/>
        <w:autoSpaceDN/>
        <w:bidi w:val="0"/>
        <w:adjustRightInd/>
        <w:snapToGrid/>
        <w:ind w:firstLine="602" w:firstLineChars="200"/>
        <w:textAlignment w:val="auto"/>
        <w:outlineLvl w:val="9"/>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w:t>
      </w:r>
      <w:r>
        <w:rPr>
          <w:rFonts w:hint="eastAsia" w:ascii="仿宋_GB2312" w:hAnsi="仿宋_GB2312" w:eastAsia="仿宋_GB2312" w:cs="仿宋_GB2312"/>
          <w:b/>
          <w:sz w:val="30"/>
          <w:szCs w:val="30"/>
          <w:lang w:val="en-US" w:eastAsia="zh-CN"/>
        </w:rPr>
        <w:t>2</w:t>
      </w:r>
      <w:r>
        <w:rPr>
          <w:rFonts w:hint="eastAsia" w:ascii="仿宋_GB2312" w:hAnsi="仿宋_GB2312" w:eastAsia="仿宋_GB2312" w:cs="仿宋_GB2312"/>
          <w:b/>
          <w:sz w:val="30"/>
          <w:szCs w:val="30"/>
        </w:rPr>
        <w:t>）抓实教学常规，提高教学质量</w:t>
      </w:r>
    </w:p>
    <w:p>
      <w:pPr>
        <w:pStyle w:val="6"/>
        <w:keepNext w:val="0"/>
        <w:keepLines w:val="0"/>
        <w:pageBreakBefore w:val="0"/>
        <w:shd w:val="clear" w:color="auto" w:fill="FFFFFF"/>
        <w:kinsoku/>
        <w:wordWrap/>
        <w:overflowPunct/>
        <w:topLinePunct w:val="0"/>
        <w:autoSpaceDE/>
        <w:autoSpaceDN/>
        <w:bidi w:val="0"/>
        <w:adjustRightInd/>
        <w:snapToGrid/>
        <w:spacing w:line="216" w:lineRule="atLeast"/>
        <w:ind w:left="0" w:leftChars="0"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继续加强教研组建设，强化教学过程管理</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抓好上课过程的管理</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议课。议课有理有据，娓娓道来，克服了议课无话可说、附和的局面，使议课质量进一步提高</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本学期，重点抓“培优提中补差”工作，让科任教师明确自己所教科目的潜能生情况，引导老师认真反思，找出应对策略，在平时的教学中积极改进方法，加强思想工作和课后辅导力度，取得了一定的成绩</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重点抓好毕业班工作。</w:t>
      </w:r>
    </w:p>
    <w:p>
      <w:pPr>
        <w:keepNext w:val="0"/>
        <w:keepLines w:val="0"/>
        <w:pageBreakBefore w:val="0"/>
        <w:kinsoku/>
        <w:wordWrap/>
        <w:overflowPunct/>
        <w:topLinePunct w:val="0"/>
        <w:autoSpaceDE/>
        <w:autoSpaceDN/>
        <w:bidi w:val="0"/>
        <w:adjustRightInd/>
        <w:snapToGrid/>
        <w:ind w:firstLine="602" w:firstLineChars="200"/>
        <w:textAlignment w:val="auto"/>
        <w:outlineLvl w:val="9"/>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w:t>
      </w:r>
      <w:r>
        <w:rPr>
          <w:rFonts w:hint="eastAsia" w:ascii="仿宋_GB2312" w:hAnsi="仿宋_GB2312" w:eastAsia="仿宋_GB2312" w:cs="仿宋_GB2312"/>
          <w:b/>
          <w:sz w:val="30"/>
          <w:szCs w:val="30"/>
          <w:lang w:val="en-US" w:eastAsia="zh-CN"/>
        </w:rPr>
        <w:t>3</w:t>
      </w:r>
      <w:r>
        <w:rPr>
          <w:rFonts w:hint="eastAsia" w:ascii="仿宋_GB2312" w:hAnsi="仿宋_GB2312" w:eastAsia="仿宋_GB2312" w:cs="仿宋_GB2312"/>
          <w:b/>
          <w:sz w:val="30"/>
          <w:szCs w:val="30"/>
        </w:rPr>
        <w:t>）加强教师培训，提高师资队伍建设水平。</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lang w:val="en-US"/>
        </w:rPr>
      </w:pPr>
      <w:r>
        <w:rPr>
          <w:rFonts w:hint="eastAsia" w:ascii="仿宋_GB2312" w:hAnsi="仿宋_GB2312" w:eastAsia="仿宋_GB2312" w:cs="仿宋_GB2312"/>
          <w:bCs/>
          <w:kern w:val="2"/>
          <w:sz w:val="30"/>
          <w:szCs w:val="30"/>
        </w:rPr>
        <w:t>坚定不移走课改之路，落实课堂模式的运用及实效</w:t>
      </w:r>
      <w:r>
        <w:rPr>
          <w:rFonts w:hint="eastAsia" w:ascii="仿宋_GB2312" w:hAnsi="仿宋_GB2312" w:eastAsia="仿宋_GB2312" w:cs="仿宋_GB2312"/>
          <w:bCs/>
          <w:kern w:val="2"/>
          <w:sz w:val="30"/>
          <w:szCs w:val="30"/>
          <w:lang w:eastAsia="zh-CN"/>
        </w:rPr>
        <w:t>；</w:t>
      </w:r>
      <w:r>
        <w:rPr>
          <w:rFonts w:hint="eastAsia" w:ascii="仿宋_GB2312" w:hAnsi="仿宋_GB2312" w:eastAsia="仿宋_GB2312" w:cs="仿宋_GB2312"/>
          <w:bCs/>
          <w:sz w:val="30"/>
          <w:szCs w:val="30"/>
        </w:rPr>
        <w:t>注重培养青年教师、骨干教师</w:t>
      </w:r>
      <w:r>
        <w:rPr>
          <w:rFonts w:hint="eastAsia" w:ascii="仿宋_GB2312" w:hAnsi="仿宋_GB2312" w:eastAsia="仿宋_GB2312" w:cs="仿宋_GB2312"/>
          <w:bCs/>
          <w:sz w:val="30"/>
          <w:szCs w:val="30"/>
          <w:lang w:eastAsia="zh-CN"/>
        </w:rPr>
        <w:t>；</w:t>
      </w:r>
      <w:r>
        <w:rPr>
          <w:rFonts w:hint="eastAsia" w:ascii="仿宋_GB2312" w:hAnsi="仿宋_GB2312" w:eastAsia="仿宋_GB2312" w:cs="仿宋_GB2312"/>
          <w:bCs/>
          <w:sz w:val="30"/>
          <w:szCs w:val="30"/>
        </w:rPr>
        <w:t>继续坚持深入各教研组开展教学研讨活动，探讨课堂改革的理念，建构小组合作学习的有效课堂</w:t>
      </w:r>
      <w:r>
        <w:rPr>
          <w:rFonts w:hint="eastAsia" w:ascii="仿宋_GB2312" w:hAnsi="仿宋_GB2312" w:eastAsia="仿宋_GB2312" w:cs="仿宋_GB2312"/>
          <w:bCs/>
          <w:sz w:val="30"/>
          <w:szCs w:val="30"/>
          <w:lang w:eastAsia="zh-CN"/>
        </w:rPr>
        <w:t>；</w:t>
      </w:r>
      <w:r>
        <w:rPr>
          <w:rFonts w:hint="eastAsia" w:ascii="仿宋_GB2312" w:hAnsi="仿宋_GB2312" w:eastAsia="仿宋_GB2312" w:cs="仿宋_GB2312"/>
          <w:bCs/>
          <w:sz w:val="30"/>
          <w:szCs w:val="30"/>
        </w:rPr>
        <w:t>继续做好示范校的辐射工作</w:t>
      </w:r>
      <w:r>
        <w:rPr>
          <w:rFonts w:hint="eastAsia" w:ascii="仿宋_GB2312" w:hAnsi="仿宋_GB2312" w:eastAsia="仿宋_GB2312" w:cs="仿宋_GB2312"/>
          <w:bCs/>
          <w:sz w:val="30"/>
          <w:szCs w:val="30"/>
          <w:lang w:eastAsia="zh-CN"/>
        </w:rPr>
        <w:t>；</w:t>
      </w:r>
      <w:r>
        <w:rPr>
          <w:rFonts w:hint="eastAsia" w:ascii="仿宋_GB2312" w:hAnsi="仿宋_GB2312" w:eastAsia="仿宋_GB2312" w:cs="仿宋_GB2312"/>
          <w:sz w:val="30"/>
          <w:szCs w:val="30"/>
        </w:rPr>
        <w:t>认真做好教育科研工作</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扎实做好现代教育信息技术培训工作</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积极配合抓好学校德育、安全、少先队工作。</w:t>
      </w:r>
      <w:r>
        <w:rPr>
          <w:rFonts w:hint="eastAsia" w:ascii="仿宋_GB2312" w:hAnsi="仿宋_GB2312" w:eastAsia="仿宋_GB2312" w:cs="仿宋_GB2312"/>
          <w:sz w:val="30"/>
          <w:szCs w:val="30"/>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02"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b/>
          <w:sz w:val="30"/>
          <w:szCs w:val="30"/>
          <w:lang w:val="en-US" w:eastAsia="zh-CN"/>
        </w:rPr>
        <w:t>5、</w:t>
      </w:r>
      <w:r>
        <w:rPr>
          <w:rFonts w:hint="eastAsia" w:ascii="仿宋_GB2312" w:hAnsi="仿宋_GB2312" w:eastAsia="仿宋_GB2312" w:cs="仿宋_GB2312"/>
          <w:b/>
          <w:sz w:val="30"/>
          <w:szCs w:val="30"/>
        </w:rPr>
        <w:t>加强学校党总支工作</w:t>
      </w:r>
    </w:p>
    <w:p>
      <w:pPr>
        <w:keepNext w:val="0"/>
        <w:keepLines w:val="0"/>
        <w:pageBreakBefore w:val="0"/>
        <w:numPr>
          <w:ilvl w:val="0"/>
          <w:numId w:val="0"/>
        </w:numPr>
        <w:kinsoku/>
        <w:wordWrap/>
        <w:overflowPunct/>
        <w:topLinePunct w:val="0"/>
        <w:autoSpaceDE/>
        <w:autoSpaceDN/>
        <w:bidi w:val="0"/>
        <w:adjustRightInd/>
        <w:snapToGrid/>
        <w:spacing w:line="500" w:lineRule="exact"/>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）抓组织建设，努力提升学校党建工作水平。</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2</w:t>
      </w:r>
      <w:r>
        <w:rPr>
          <w:rFonts w:hint="eastAsia" w:ascii="仿宋_GB2312" w:hAnsi="仿宋_GB2312" w:eastAsia="仿宋_GB2312" w:cs="仿宋_GB2312"/>
          <w:sz w:val="30"/>
          <w:szCs w:val="30"/>
        </w:rPr>
        <w:t>）抓组织建设，努力提升学校党建工作水平。</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3</w:t>
      </w:r>
      <w:r>
        <w:rPr>
          <w:rFonts w:hint="eastAsia" w:ascii="仿宋_GB2312" w:hAnsi="仿宋_GB2312" w:eastAsia="仿宋_GB2312" w:cs="仿宋_GB2312"/>
          <w:sz w:val="30"/>
          <w:szCs w:val="30"/>
        </w:rPr>
        <w:t>）抓制度建设，健全党员学习教育的长效机制。</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4</w:t>
      </w:r>
      <w:r>
        <w:rPr>
          <w:rFonts w:hint="eastAsia" w:ascii="仿宋_GB2312" w:hAnsi="仿宋_GB2312" w:eastAsia="仿宋_GB2312" w:cs="仿宋_GB2312"/>
          <w:sz w:val="30"/>
          <w:szCs w:val="30"/>
        </w:rPr>
        <w:t>）抓好作风建设，增强拒腐防变能力。</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5</w:t>
      </w:r>
      <w:r>
        <w:rPr>
          <w:rFonts w:hint="eastAsia" w:ascii="仿宋_GB2312" w:hAnsi="仿宋_GB2312" w:eastAsia="仿宋_GB2312" w:cs="仿宋_GB2312"/>
          <w:sz w:val="30"/>
          <w:szCs w:val="30"/>
        </w:rPr>
        <w:t>）抓好群团建设，努力构建文明和谐校园。</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w:t>
      </w:r>
      <w:r>
        <w:rPr>
          <w:rFonts w:hint="eastAsia" w:ascii="仿宋_GB2312" w:hAnsi="仿宋_GB2312" w:eastAsia="仿宋_GB2312" w:cs="仿宋_GB2312"/>
          <w:sz w:val="30"/>
          <w:szCs w:val="30"/>
          <w:lang w:val="en-US" w:eastAsia="zh-CN"/>
        </w:rPr>
        <w:t>6</w:t>
      </w:r>
      <w:r>
        <w:rPr>
          <w:rFonts w:hint="eastAsia" w:ascii="仿宋_GB2312" w:hAnsi="仿宋_GB2312" w:eastAsia="仿宋_GB2312" w:cs="仿宋_GB2312"/>
          <w:sz w:val="30"/>
          <w:szCs w:val="30"/>
        </w:rPr>
        <w:t>）深入开展“三严三实”、“忠诚干净担当”和</w:t>
      </w:r>
      <w:r>
        <w:rPr>
          <w:rFonts w:hint="eastAsia" w:ascii="仿宋_GB2312" w:hAnsi="仿宋_GB2312" w:eastAsia="仿宋_GB2312" w:cs="仿宋_GB2312"/>
          <w:sz w:val="30"/>
          <w:szCs w:val="30"/>
          <w:lang w:eastAsia="zh-CN"/>
        </w:rPr>
        <w:t>“两学一做”学习教育</w:t>
      </w:r>
      <w:r>
        <w:rPr>
          <w:rFonts w:hint="eastAsia" w:ascii="仿宋_GB2312" w:hAnsi="仿宋_GB2312" w:eastAsia="仿宋_GB2312" w:cs="仿宋_GB2312"/>
          <w:sz w:val="30"/>
          <w:szCs w:val="30"/>
        </w:rPr>
        <w:t>实践活动</w:t>
      </w:r>
    </w:p>
    <w:p>
      <w:pPr>
        <w:keepNext w:val="0"/>
        <w:keepLines w:val="0"/>
        <w:pageBreakBefore w:val="0"/>
        <w:kinsoku/>
        <w:wordWrap/>
        <w:overflowPunct/>
        <w:topLinePunct w:val="0"/>
        <w:autoSpaceDE/>
        <w:autoSpaceDN/>
        <w:bidi w:val="0"/>
        <w:adjustRightInd/>
        <w:snapToGrid/>
        <w:spacing w:line="500" w:lineRule="exact"/>
        <w:ind w:firstLine="602" w:firstLineChars="200"/>
        <w:textAlignment w:val="auto"/>
        <w:outlineLvl w:val="9"/>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val="en-US" w:eastAsia="zh-CN"/>
        </w:rPr>
        <w:t>6</w:t>
      </w:r>
      <w:r>
        <w:rPr>
          <w:rFonts w:hint="eastAsia" w:ascii="仿宋_GB2312" w:hAnsi="仿宋_GB2312" w:eastAsia="仿宋_GB2312" w:cs="仿宋_GB2312"/>
          <w:b/>
          <w:sz w:val="30"/>
          <w:szCs w:val="30"/>
        </w:rPr>
        <w:t>、加强学校德育工作</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sz w:val="30"/>
          <w:szCs w:val="30"/>
        </w:rPr>
      </w:pPr>
      <w:r>
        <w:rPr>
          <w:rFonts w:hint="eastAsia" w:ascii="仿宋_GB2312" w:hAnsi="仿宋_GB2312" w:eastAsia="仿宋_GB2312" w:cs="仿宋_GB2312"/>
          <w:sz w:val="30"/>
          <w:szCs w:val="30"/>
        </w:rPr>
        <w:t>严格执行班级量化考核制度本学期，我校继续执行班级量化考核制度。每周进行一次总结，每月进行一次汇总</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开展多种形式的德育活动</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坚持升旗仪式。开展“加强法制宣传教育”活动。弘扬法制精神、知法、守法、护法是每个公民的崇高义务</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开展多种形式的主题班会、队会。如养成教育主题班会 ，反邪教主题班会，防溺水主题班会、禁毒防艾主题班会等</w:t>
      </w:r>
      <w:r>
        <w:rPr>
          <w:rFonts w:hint="eastAsia" w:ascii="仿宋_GB2312" w:hAnsi="仿宋_GB2312" w:eastAsia="仿宋_GB2312" w:cs="仿宋_GB2312"/>
          <w:sz w:val="30"/>
          <w:szCs w:val="30"/>
          <w:lang w:eastAsia="zh-CN"/>
        </w:rPr>
        <w:t>；</w:t>
      </w:r>
      <w:r>
        <w:rPr>
          <w:rFonts w:hint="eastAsia" w:ascii="仿宋_GB2312" w:hAnsi="仿宋_GB2312" w:eastAsia="仿宋_GB2312" w:cs="仿宋_GB2312"/>
          <w:sz w:val="30"/>
          <w:szCs w:val="30"/>
        </w:rPr>
        <w:t>在养成教育方面，从学习习惯、文明行为、生活习惯、安全行为几方面逐月分解目标，真正做到从细节抓起。</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rPr>
      </w:pPr>
      <w:r>
        <w:rPr>
          <w:rFonts w:eastAsia="仿宋_GB2312"/>
          <w:kern w:val="0"/>
          <w:sz w:val="30"/>
          <w:szCs w:val="30"/>
        </w:rPr>
        <w:t>我部门编制</w:t>
      </w:r>
      <w:r>
        <w:rPr>
          <w:rFonts w:hint="eastAsia" w:eastAsia="仿宋_GB2312"/>
          <w:kern w:val="0"/>
          <w:sz w:val="30"/>
          <w:szCs w:val="30"/>
          <w:lang w:val="en-US" w:eastAsia="zh-CN"/>
        </w:rPr>
        <w:t>2019</w:t>
      </w:r>
      <w:r>
        <w:rPr>
          <w:rFonts w:eastAsia="仿宋_GB2312"/>
          <w:kern w:val="0"/>
          <w:sz w:val="30"/>
          <w:szCs w:val="30"/>
        </w:rPr>
        <w:t>年部门预算单位共</w:t>
      </w:r>
      <w:r>
        <w:rPr>
          <w:rFonts w:hint="eastAsia" w:eastAsia="仿宋_GB2312"/>
          <w:kern w:val="0"/>
          <w:sz w:val="30"/>
          <w:szCs w:val="30"/>
          <w:lang w:val="en-US" w:eastAsia="zh-CN"/>
        </w:rPr>
        <w:t>1</w:t>
      </w:r>
      <w:r>
        <w:rPr>
          <w:rFonts w:eastAsia="仿宋_GB2312"/>
          <w:kern w:val="0"/>
          <w:sz w:val="30"/>
          <w:szCs w:val="30"/>
        </w:rPr>
        <w:t>个。其中：财政全供给单位</w:t>
      </w:r>
      <w:r>
        <w:rPr>
          <w:rFonts w:hint="eastAsia" w:eastAsia="仿宋_GB2312"/>
          <w:kern w:val="0"/>
          <w:sz w:val="30"/>
          <w:szCs w:val="30"/>
          <w:lang w:val="en-US" w:eastAsia="zh-CN"/>
        </w:rPr>
        <w:t>1</w:t>
      </w:r>
      <w:r>
        <w:rPr>
          <w:rFonts w:eastAsia="仿宋_GB2312"/>
          <w:kern w:val="0"/>
          <w:sz w:val="30"/>
          <w:szCs w:val="30"/>
        </w:rPr>
        <w:t>个；部分供给单位</w:t>
      </w:r>
      <w:r>
        <w:rPr>
          <w:rFonts w:hint="eastAsia" w:eastAsia="仿宋_GB2312"/>
          <w:kern w:val="0"/>
          <w:sz w:val="30"/>
          <w:szCs w:val="30"/>
          <w:lang w:val="en-US" w:eastAsia="zh-CN"/>
        </w:rPr>
        <w:t>0</w:t>
      </w:r>
      <w:r>
        <w:rPr>
          <w:rFonts w:eastAsia="仿宋_GB2312"/>
          <w:kern w:val="0"/>
          <w:sz w:val="30"/>
          <w:szCs w:val="30"/>
        </w:rPr>
        <w:t>个；特殊供给单位</w:t>
      </w:r>
      <w:r>
        <w:rPr>
          <w:rFonts w:hint="eastAsia" w:eastAsia="仿宋_GB2312"/>
          <w:kern w:val="0"/>
          <w:sz w:val="30"/>
          <w:szCs w:val="30"/>
          <w:lang w:val="en-US" w:eastAsia="zh-CN"/>
        </w:rPr>
        <w:t>0</w:t>
      </w:r>
      <w:r>
        <w:rPr>
          <w:rFonts w:eastAsia="仿宋_GB2312"/>
          <w:kern w:val="0"/>
          <w:sz w:val="30"/>
          <w:szCs w:val="30"/>
        </w:rPr>
        <w:t>个；自收自支单位</w:t>
      </w:r>
      <w:r>
        <w:rPr>
          <w:rFonts w:hint="eastAsia" w:eastAsia="仿宋_GB2312"/>
          <w:kern w:val="0"/>
          <w:sz w:val="30"/>
          <w:szCs w:val="30"/>
          <w:lang w:val="en-US" w:eastAsia="zh-CN"/>
        </w:rPr>
        <w:t>0</w:t>
      </w:r>
      <w:r>
        <w:rPr>
          <w:rFonts w:eastAsia="仿宋_GB2312"/>
          <w:kern w:val="0"/>
          <w:sz w:val="30"/>
          <w:szCs w:val="30"/>
        </w:rPr>
        <w:t>个。财政全供给单位中行政单位</w:t>
      </w:r>
      <w:r>
        <w:rPr>
          <w:rFonts w:hint="eastAsia" w:eastAsia="仿宋_GB2312"/>
          <w:kern w:val="0"/>
          <w:sz w:val="30"/>
          <w:szCs w:val="30"/>
          <w:lang w:val="en-US" w:eastAsia="zh-CN"/>
        </w:rPr>
        <w:t>0</w:t>
      </w:r>
      <w:r>
        <w:rPr>
          <w:rFonts w:eastAsia="仿宋_GB2312"/>
          <w:kern w:val="0"/>
          <w:sz w:val="30"/>
          <w:szCs w:val="30"/>
        </w:rPr>
        <w:t>个；参公管理事业单位</w:t>
      </w:r>
      <w:r>
        <w:rPr>
          <w:rFonts w:hint="eastAsia" w:eastAsia="仿宋_GB2312"/>
          <w:kern w:val="0"/>
          <w:sz w:val="30"/>
          <w:szCs w:val="30"/>
          <w:lang w:val="en-US" w:eastAsia="zh-CN"/>
        </w:rPr>
        <w:t>0</w:t>
      </w:r>
      <w:r>
        <w:rPr>
          <w:rFonts w:eastAsia="仿宋_GB2312"/>
          <w:kern w:val="0"/>
          <w:sz w:val="30"/>
          <w:szCs w:val="30"/>
        </w:rPr>
        <w:t>个；非参公管理事业单位</w:t>
      </w:r>
      <w:r>
        <w:rPr>
          <w:rFonts w:hint="eastAsia" w:eastAsia="仿宋_GB2312"/>
          <w:kern w:val="0"/>
          <w:sz w:val="30"/>
          <w:szCs w:val="30"/>
          <w:lang w:val="en-US" w:eastAsia="zh-CN"/>
        </w:rPr>
        <w:t>1</w:t>
      </w:r>
      <w:r>
        <w:rPr>
          <w:rFonts w:eastAsia="仿宋_GB2312"/>
          <w:kern w:val="0"/>
          <w:sz w:val="30"/>
          <w:szCs w:val="30"/>
        </w:rPr>
        <w:t>个。</w:t>
      </w:r>
      <w:r>
        <w:rPr>
          <w:rFonts w:hint="eastAsia" w:ascii="仿宋_GB2312" w:hAnsi="仿宋_GB2312" w:eastAsia="仿宋_GB2312" w:cs="仿宋_GB2312"/>
          <w:kern w:val="0"/>
          <w:sz w:val="30"/>
          <w:szCs w:val="30"/>
        </w:rPr>
        <w:t>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在职人员编制</w:t>
      </w:r>
      <w:r>
        <w:rPr>
          <w:rFonts w:hint="eastAsia" w:ascii="仿宋_GB2312" w:hAnsi="仿宋_GB2312" w:eastAsia="仿宋_GB2312" w:cs="仿宋_GB2312"/>
          <w:color w:val="000000" w:themeColor="text1"/>
          <w:kern w:val="0"/>
          <w:sz w:val="30"/>
          <w:szCs w:val="30"/>
          <w:lang w:val="en-US" w:eastAsia="zh-CN"/>
        </w:rPr>
        <w:t>128</w:t>
      </w:r>
      <w:r>
        <w:rPr>
          <w:rFonts w:hint="eastAsia" w:ascii="仿宋_GB2312" w:hAnsi="仿宋_GB2312" w:eastAsia="仿宋_GB2312" w:cs="仿宋_GB2312"/>
          <w:color w:val="000000" w:themeColor="text1"/>
          <w:kern w:val="0"/>
          <w:sz w:val="30"/>
          <w:szCs w:val="30"/>
        </w:rPr>
        <w:t xml:space="preserve">人，其中：行政编制 </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人，事业编制</w:t>
      </w:r>
      <w:r>
        <w:rPr>
          <w:rFonts w:hint="eastAsia" w:ascii="仿宋_GB2312" w:hAnsi="仿宋_GB2312" w:eastAsia="仿宋_GB2312" w:cs="仿宋_GB2312"/>
          <w:color w:val="000000" w:themeColor="text1"/>
          <w:kern w:val="0"/>
          <w:sz w:val="30"/>
          <w:szCs w:val="30"/>
          <w:lang w:val="en-US" w:eastAsia="zh-CN"/>
        </w:rPr>
        <w:t>128</w:t>
      </w:r>
      <w:r>
        <w:rPr>
          <w:rFonts w:hint="eastAsia" w:ascii="仿宋_GB2312" w:hAnsi="仿宋_GB2312" w:eastAsia="仿宋_GB2312" w:cs="仿宋_GB2312"/>
          <w:color w:val="000000" w:themeColor="text1"/>
          <w:kern w:val="0"/>
          <w:sz w:val="30"/>
          <w:szCs w:val="30"/>
        </w:rPr>
        <w:t>人。在职实有</w:t>
      </w:r>
      <w:r>
        <w:rPr>
          <w:rFonts w:hint="eastAsia" w:ascii="仿宋_GB2312" w:hAnsi="仿宋_GB2312" w:eastAsia="仿宋_GB2312" w:cs="仿宋_GB2312"/>
          <w:color w:val="000000" w:themeColor="text1"/>
          <w:kern w:val="0"/>
          <w:sz w:val="30"/>
          <w:szCs w:val="30"/>
          <w:lang w:val="en-US" w:eastAsia="zh-CN"/>
        </w:rPr>
        <w:t>128</w:t>
      </w:r>
      <w:r>
        <w:rPr>
          <w:rFonts w:hint="eastAsia" w:ascii="仿宋_GB2312" w:hAnsi="仿宋_GB2312" w:eastAsia="仿宋_GB2312" w:cs="仿宋_GB2312"/>
          <w:color w:val="000000" w:themeColor="text1"/>
          <w:kern w:val="0"/>
          <w:sz w:val="30"/>
          <w:szCs w:val="30"/>
        </w:rPr>
        <w:t xml:space="preserve">人，其中： 财政全供养 </w:t>
      </w:r>
      <w:r>
        <w:rPr>
          <w:rFonts w:hint="eastAsia" w:ascii="仿宋_GB2312" w:hAnsi="仿宋_GB2312" w:eastAsia="仿宋_GB2312" w:cs="仿宋_GB2312"/>
          <w:color w:val="000000" w:themeColor="text1"/>
          <w:kern w:val="0"/>
          <w:sz w:val="30"/>
          <w:szCs w:val="30"/>
          <w:lang w:val="en-US" w:eastAsia="zh-CN"/>
        </w:rPr>
        <w:t>128</w:t>
      </w:r>
      <w:r>
        <w:rPr>
          <w:rFonts w:hint="eastAsia" w:ascii="仿宋_GB2312" w:hAnsi="仿宋_GB2312" w:eastAsia="仿宋_GB2312" w:cs="仿宋_GB2312"/>
          <w:color w:val="000000" w:themeColor="text1"/>
          <w:kern w:val="0"/>
          <w:sz w:val="30"/>
          <w:szCs w:val="30"/>
        </w:rPr>
        <w:t>人，财政部分供养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人，非财政供养</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离退休人员</w:t>
      </w:r>
      <w:r>
        <w:rPr>
          <w:rFonts w:hint="eastAsia" w:ascii="仿宋_GB2312" w:hAnsi="仿宋_GB2312" w:eastAsia="仿宋_GB2312" w:cs="仿宋_GB2312"/>
          <w:color w:val="000000" w:themeColor="text1"/>
          <w:kern w:val="0"/>
          <w:sz w:val="30"/>
          <w:szCs w:val="30"/>
          <w:lang w:val="en-US" w:eastAsia="zh-CN"/>
        </w:rPr>
        <w:t>106</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106</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盈江县第一小学</w:t>
      </w:r>
      <w:r>
        <w:rPr>
          <w:rFonts w:eastAsia="仿宋_GB2312"/>
          <w:kern w:val="0"/>
          <w:sz w:val="30"/>
          <w:szCs w:val="30"/>
        </w:rPr>
        <w:t>财务总收入</w:t>
      </w:r>
      <w:r>
        <w:rPr>
          <w:rFonts w:hint="eastAsia" w:eastAsia="仿宋_GB2312"/>
          <w:kern w:val="0"/>
          <w:sz w:val="30"/>
          <w:szCs w:val="30"/>
          <w:lang w:val="en-US" w:eastAsia="zh-CN"/>
        </w:rPr>
        <w:t>1622.22</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1622.22</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年部门财政拨款收入 </w:t>
      </w:r>
      <w:r>
        <w:rPr>
          <w:rFonts w:hint="eastAsia" w:eastAsia="仿宋_GB2312"/>
          <w:kern w:val="0"/>
          <w:sz w:val="30"/>
          <w:szCs w:val="30"/>
          <w:lang w:val="en-US" w:eastAsia="zh-CN"/>
        </w:rPr>
        <w:t>1622.22</w:t>
      </w:r>
      <w:r>
        <w:rPr>
          <w:rFonts w:eastAsia="仿宋_GB2312"/>
          <w:kern w:val="0"/>
          <w:sz w:val="30"/>
          <w:szCs w:val="30"/>
        </w:rPr>
        <w:t>万元，其中:本年收入</w:t>
      </w:r>
      <w:r>
        <w:rPr>
          <w:rFonts w:hint="eastAsia" w:eastAsia="仿宋_GB2312"/>
          <w:kern w:val="0"/>
          <w:sz w:val="30"/>
          <w:szCs w:val="30"/>
          <w:lang w:val="en-US" w:eastAsia="zh-CN"/>
        </w:rPr>
        <w:t>1622.22</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1622.22</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left"/>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1622.22</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1622.22</w:t>
      </w:r>
      <w:r>
        <w:rPr>
          <w:rFonts w:eastAsia="仿宋_GB2312"/>
          <w:kern w:val="0"/>
          <w:sz w:val="30"/>
          <w:szCs w:val="30"/>
        </w:rPr>
        <w:t>万元，其中，基本支出</w:t>
      </w:r>
      <w:r>
        <w:rPr>
          <w:rFonts w:hint="eastAsia" w:eastAsia="仿宋_GB2312"/>
          <w:kern w:val="0"/>
          <w:sz w:val="30"/>
          <w:szCs w:val="30"/>
          <w:lang w:val="en-US" w:eastAsia="zh-CN"/>
        </w:rPr>
        <w:t>1622.22</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“2050202” 教育支出-普通教育-初中教育1253.79万元，主要用于工资福利支出和日常学校运行运转。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“2080502”社会保障和就业支出-行政事业单位离退休-事业单位单位离退休6.36万元，主要用于离退休人员公用经费支出。</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事业单位基本养老保险缴费支出217.17万元，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textAlignment w:val="auto"/>
        <w:outlineLvl w:val="9"/>
        <w:rPr>
          <w:rFonts w:hint="eastAsia" w:ascii="仿宋_GB2312" w:hAnsi="仿宋_GB2312" w:eastAsia="仿宋_GB2312" w:cs="仿宋_GB2312"/>
          <w:color w:val="333333"/>
          <w:sz w:val="30"/>
          <w:szCs w:val="30"/>
          <w:shd w:val="clear" w:color="040000" w:fill="FFFFFF"/>
          <w:lang w:val="en-US" w:eastAsia="zh-CN"/>
        </w:rPr>
      </w:pP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color w:val="333333"/>
          <w:sz w:val="30"/>
          <w:szCs w:val="30"/>
          <w:shd w:val="clear" w:color="040000" w:fill="FFFFFF"/>
          <w:lang w:val="en-US" w:eastAsia="zh-CN"/>
        </w:rPr>
        <w:t>2080801</w:t>
      </w:r>
      <w:r>
        <w:rPr>
          <w:rFonts w:hint="eastAsia" w:ascii="仿宋_GB2312" w:hAnsi="仿宋_GB2312" w:eastAsia="仿宋_GB2312" w:cs="仿宋_GB2312"/>
          <w:sz w:val="30"/>
          <w:szCs w:val="30"/>
          <w:lang w:val="en-US" w:eastAsia="zh-CN"/>
        </w:rPr>
        <w:t>”社会保障和就业支出-抚恤- 死亡抚恤支出0.36万元。</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left"/>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w:t>
      </w:r>
      <w:r>
        <w:rPr>
          <w:rFonts w:hint="eastAsia" w:ascii="仿宋_GB2312" w:hAnsi="仿宋_GB2312" w:eastAsia="仿宋_GB2312" w:cs="仿宋_GB2312"/>
          <w:color w:val="333333"/>
          <w:sz w:val="30"/>
          <w:szCs w:val="30"/>
          <w:shd w:val="clear" w:color="040000" w:fill="FFFFFF"/>
          <w:lang w:val="en-US" w:eastAsia="zh-CN"/>
        </w:rPr>
        <w:t>144.54</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left"/>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kern w:val="0"/>
          <w:sz w:val="30"/>
          <w:szCs w:val="30"/>
          <w:lang w:val="en-US" w:eastAsia="zh-CN"/>
        </w:rPr>
        <w:t>2050202初中教育</w:t>
      </w:r>
      <w:r>
        <w:rPr>
          <w:rFonts w:hint="eastAsia" w:ascii="仿宋_GB2312" w:hAnsi="仿宋_GB2312" w:eastAsia="仿宋_GB2312" w:cs="仿宋_GB2312"/>
          <w:sz w:val="30"/>
          <w:szCs w:val="30"/>
          <w:lang w:val="en-US" w:eastAsia="zh-CN"/>
        </w:rPr>
        <w:t>1253.79</w:t>
      </w:r>
      <w:r>
        <w:rPr>
          <w:rFonts w:hint="eastAsia" w:ascii="仿宋_GB2312" w:hAnsi="仿宋_GB2312" w:eastAsia="仿宋_GB2312" w:cs="仿宋_GB2312"/>
          <w:kern w:val="0"/>
          <w:sz w:val="30"/>
          <w:szCs w:val="30"/>
          <w:lang w:val="en-US" w:eastAsia="zh-CN"/>
        </w:rPr>
        <w:t>万元，其中：基本支出</w:t>
      </w:r>
      <w:r>
        <w:rPr>
          <w:rFonts w:hint="eastAsia" w:ascii="仿宋_GB2312" w:hAnsi="仿宋_GB2312" w:eastAsia="仿宋_GB2312" w:cs="仿宋_GB2312"/>
          <w:sz w:val="30"/>
          <w:szCs w:val="30"/>
          <w:lang w:val="en-US" w:eastAsia="zh-CN"/>
        </w:rPr>
        <w:t>1253.79</w:t>
      </w:r>
      <w:r>
        <w:rPr>
          <w:rFonts w:hint="eastAsia" w:ascii="仿宋_GB2312" w:hAnsi="仿宋_GB2312" w:eastAsia="仿宋_GB2312" w:cs="仿宋_GB2312"/>
          <w:kern w:val="0"/>
          <w:sz w:val="30"/>
          <w:szCs w:val="30"/>
          <w:lang w:val="en-US" w:eastAsia="zh-CN"/>
        </w:rPr>
        <w:t>万元，主要用于工资福利支出1245.35万元；商品和服务支出8.44万元；项目支出0万元。</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2080502事业单位离退休6.36万元，其中：基本支出6.36万元，主要用于商品和服务支出6.00万元；对个人和家庭的补助0.36万元；项目支出0万元。</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2080505机关事业单位基本养老保险缴费217.17万元，其中：基本支出217.17万元工资福利支出217.17万元;项目支出0万元。</w:t>
      </w:r>
    </w:p>
    <w:p>
      <w:pPr>
        <w:pStyle w:val="6"/>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color w:val="333333"/>
          <w:sz w:val="30"/>
          <w:szCs w:val="30"/>
          <w:shd w:val="clear" w:color="040000" w:fill="FFFFFF"/>
          <w:lang w:val="en-US" w:eastAsia="zh-CN"/>
        </w:rPr>
        <w:t>2080801</w:t>
      </w:r>
      <w:r>
        <w:rPr>
          <w:rFonts w:hint="eastAsia" w:ascii="仿宋_GB2312" w:hAnsi="仿宋_GB2312" w:eastAsia="仿宋_GB2312" w:cs="仿宋_GB2312"/>
          <w:sz w:val="30"/>
          <w:szCs w:val="30"/>
          <w:lang w:val="en-US" w:eastAsia="zh-CN"/>
        </w:rPr>
        <w:t>社会保障和就业支出-抚恤- 死亡抚恤0.36万元，其中：基本支出0.36万元，主要用于对个人和家庭补助。</w:t>
      </w:r>
    </w:p>
    <w:p>
      <w:pPr>
        <w:pStyle w:val="6"/>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left"/>
        <w:textAlignment w:val="auto"/>
        <w:outlineLvl w:val="9"/>
        <w:rPr>
          <w:rFonts w:hint="eastAsia" w:ascii="仿宋_GB2312" w:hAnsi="仿宋_GB2312" w:eastAsia="仿宋_GB2312" w:cs="仿宋_GB2312"/>
          <w:kern w:val="0"/>
          <w:sz w:val="30"/>
          <w:szCs w:val="30"/>
          <w:lang w:val="en-US" w:eastAsia="zh-CN"/>
        </w:rPr>
      </w:pPr>
      <w:r>
        <w:rPr>
          <w:rFonts w:hint="eastAsia" w:ascii="仿宋_GB2312" w:hAnsi="仿宋_GB2312" w:eastAsia="仿宋_GB2312" w:cs="仿宋_GB2312"/>
          <w:kern w:val="0"/>
          <w:sz w:val="30"/>
          <w:szCs w:val="30"/>
          <w:lang w:val="en-US" w:eastAsia="zh-CN"/>
        </w:rPr>
        <w:t>2210201住房公积金144.54万元，其中：基本支出144.54万元，主要用于工资福利支出144.54万元;项目支出0万元。</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left"/>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对下专项土地改革在转移支付项目</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hint="eastAsia" w:eastAsia="仿宋_GB2312"/>
          <w:kern w:val="0"/>
          <w:sz w:val="30"/>
          <w:szCs w:val="30"/>
          <w:lang w:eastAsia="zh-CN"/>
        </w:rPr>
        <w:t>本单位</w:t>
      </w:r>
      <w:r>
        <w:rPr>
          <w:rFonts w:hint="eastAsia" w:eastAsia="仿宋_GB2312"/>
          <w:kern w:val="0"/>
          <w:sz w:val="30"/>
          <w:szCs w:val="30"/>
          <w:lang w:val="en-US" w:eastAsia="zh-CN"/>
        </w:rPr>
        <w:t>2019年无政府采购预算</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left"/>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第一小学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5.00</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2.10</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2.90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2.90</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5.00</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2.10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2.10</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2.90</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2.90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2.90</w:t>
      </w:r>
      <w:r>
        <w:rPr>
          <w:rFonts w:hint="eastAsia" w:ascii="仿宋_GB2312" w:eastAsia="仿宋_GB2312"/>
          <w:kern w:val="0"/>
          <w:sz w:val="30"/>
          <w:szCs w:val="30"/>
        </w:rPr>
        <w:t>万元持平。</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仿宋_GB2312" w:hAnsi="仿宋_GB2312" w:eastAsia="仿宋_GB2312" w:cs="仿宋_GB2312"/>
          <w:sz w:val="30"/>
          <w:szCs w:val="30"/>
        </w:rPr>
        <w:t>基本支出情况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2019年部门预算收入1622.22</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仿宋_GB2312" w:hAnsi="仿宋_GB2312" w:eastAsia="仿宋_GB2312" w:cs="仿宋_GB2312"/>
          <w:kern w:val="0"/>
          <w:sz w:val="30"/>
          <w:szCs w:val="30"/>
          <w:lang w:val="en-US" w:eastAsia="zh-CN"/>
        </w:rPr>
        <w:t>1363.49万元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228.73万元，增18.97%。增加原因：调增人员工资。</w:t>
      </w:r>
    </w:p>
    <w:p>
      <w:pPr>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楷体" w:hAnsi="楷体" w:eastAsia="楷体" w:cs="楷体"/>
          <w:kern w:val="0"/>
          <w:sz w:val="30"/>
          <w:szCs w:val="30"/>
        </w:rPr>
        <w:t>（三）</w:t>
      </w:r>
      <w:r>
        <w:rPr>
          <w:rFonts w:hint="eastAsia" w:ascii="仿宋_GB2312" w:hAnsi="仿宋_GB2312" w:eastAsia="仿宋_GB2312" w:cs="仿宋_GB2312"/>
          <w:sz w:val="30"/>
          <w:szCs w:val="30"/>
        </w:rPr>
        <w:t>项目支出情况</w:t>
      </w:r>
    </w:p>
    <w:p>
      <w:pPr>
        <w:pStyle w:val="14"/>
        <w:keepNext w:val="0"/>
        <w:keepLines w:val="0"/>
        <w:pageBreakBefore w:val="0"/>
        <w:kinsoku/>
        <w:wordWrap/>
        <w:overflowPunct/>
        <w:topLinePunct w:val="0"/>
        <w:autoSpaceDE/>
        <w:autoSpaceDN/>
        <w:bidi w:val="0"/>
        <w:adjustRightInd/>
        <w:snapToGrid/>
        <w:ind w:firstLine="600" w:firstLineChars="200"/>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第一小学无</w:t>
      </w:r>
      <w:r>
        <w:rPr>
          <w:rFonts w:hint="eastAsia" w:ascii="仿宋_GB2312" w:hAnsi="仿宋_GB2312" w:eastAsia="仿宋_GB2312" w:cs="仿宋_GB2312"/>
          <w:sz w:val="30"/>
          <w:szCs w:val="30"/>
        </w:rPr>
        <w:t>项目支出</w:t>
      </w:r>
      <w:r>
        <w:rPr>
          <w:rFonts w:hint="eastAsia" w:ascii="仿宋_GB2312" w:hAnsi="仿宋_GB2312" w:eastAsia="仿宋_GB2312" w:cs="仿宋_GB2312"/>
          <w:sz w:val="30"/>
          <w:szCs w:val="30"/>
          <w:lang w:eastAsia="zh-CN"/>
        </w:rPr>
        <w:t>预算</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8.“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left"/>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eastAsia="仿宋_GB2312"/>
          <w:kern w:val="0"/>
          <w:sz w:val="30"/>
          <w:szCs w:val="30"/>
        </w:rPr>
      </w:pPr>
      <w:r>
        <w:rPr>
          <w:rFonts w:hint="eastAsia" w:ascii="仿宋_GB2312" w:eastAsia="仿宋_GB2312"/>
          <w:kern w:val="0"/>
          <w:sz w:val="30"/>
          <w:szCs w:val="30"/>
        </w:rPr>
        <w:t>机关运行经费共安排</w:t>
      </w:r>
      <w:r>
        <w:rPr>
          <w:rFonts w:hint="eastAsia" w:ascii="仿宋_GB2312" w:eastAsia="仿宋_GB2312"/>
          <w:kern w:val="0"/>
          <w:sz w:val="30"/>
          <w:szCs w:val="30"/>
          <w:lang w:val="en-US" w:eastAsia="zh-CN"/>
        </w:rPr>
        <w:t>19.44</w:t>
      </w:r>
      <w:r>
        <w:rPr>
          <w:rFonts w:hint="eastAsia" w:ascii="仿宋_GB2312" w:eastAsia="仿宋_GB2312"/>
          <w:kern w:val="0"/>
          <w:sz w:val="30"/>
          <w:szCs w:val="30"/>
        </w:rPr>
        <w:t>万元，主要用于办公费</w:t>
      </w:r>
      <w:r>
        <w:rPr>
          <w:rFonts w:hint="eastAsia" w:ascii="仿宋_GB2312" w:eastAsia="仿宋_GB2312"/>
          <w:kern w:val="0"/>
          <w:sz w:val="30"/>
          <w:szCs w:val="30"/>
          <w:lang w:val="en-US" w:eastAsia="zh-CN"/>
        </w:rPr>
        <w:t>13.84</w:t>
      </w:r>
      <w:r>
        <w:rPr>
          <w:rFonts w:hint="eastAsia" w:ascii="仿宋_GB2312" w:eastAsia="仿宋_GB2312"/>
          <w:kern w:val="0"/>
          <w:sz w:val="30"/>
          <w:szCs w:val="30"/>
        </w:rPr>
        <w:t>万元、</w:t>
      </w:r>
      <w:r>
        <w:rPr>
          <w:rFonts w:hint="eastAsia" w:ascii="仿宋_GB2312" w:eastAsia="仿宋_GB2312"/>
          <w:kern w:val="0"/>
          <w:sz w:val="30"/>
          <w:szCs w:val="30"/>
          <w:lang w:eastAsia="zh-CN"/>
        </w:rPr>
        <w:t>会议费</w:t>
      </w:r>
      <w:r>
        <w:rPr>
          <w:rFonts w:hint="eastAsia" w:ascii="仿宋_GB2312" w:eastAsia="仿宋_GB2312"/>
          <w:kern w:val="0"/>
          <w:sz w:val="30"/>
          <w:szCs w:val="30"/>
          <w:lang w:val="en-US" w:eastAsia="zh-CN"/>
        </w:rPr>
        <w:t>0.60</w:t>
      </w:r>
      <w:r>
        <w:rPr>
          <w:rFonts w:hint="eastAsia" w:ascii="仿宋_GB2312" w:eastAsia="仿宋_GB2312"/>
          <w:kern w:val="0"/>
          <w:sz w:val="30"/>
          <w:szCs w:val="30"/>
        </w:rPr>
        <w:t>万元</w:t>
      </w:r>
      <w:r>
        <w:rPr>
          <w:rFonts w:hint="eastAsia" w:ascii="仿宋_GB2312" w:eastAsia="仿宋_GB2312"/>
          <w:kern w:val="0"/>
          <w:sz w:val="30"/>
          <w:szCs w:val="30"/>
          <w:lang w:eastAsia="zh-CN"/>
        </w:rPr>
        <w:t>、公务接待费</w:t>
      </w:r>
      <w:r>
        <w:rPr>
          <w:rFonts w:hint="eastAsia" w:ascii="仿宋_GB2312" w:eastAsia="仿宋_GB2312"/>
          <w:kern w:val="0"/>
          <w:sz w:val="30"/>
          <w:szCs w:val="30"/>
          <w:lang w:val="en-US" w:eastAsia="zh-CN"/>
        </w:rPr>
        <w:t>2.10万元、公务用车购置及运行费2.90万元。</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left"/>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p>
    <w:p>
      <w:pPr>
        <w:keepNext w:val="0"/>
        <w:keepLines w:val="0"/>
        <w:pageBreakBefore w:val="0"/>
        <w:widowControl/>
        <w:kinsoku/>
        <w:wordWrap/>
        <w:overflowPunct/>
        <w:topLinePunct w:val="0"/>
        <w:autoSpaceDE/>
        <w:autoSpaceDN/>
        <w:bidi w:val="0"/>
        <w:adjustRightInd/>
        <w:snapToGrid/>
        <w:ind w:firstLine="600" w:firstLineChars="200"/>
        <w:jc w:val="left"/>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1622.22</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1622.22</w:t>
      </w:r>
      <w:r>
        <w:rPr>
          <w:rFonts w:eastAsia="仿宋_GB2312"/>
          <w:kern w:val="0"/>
          <w:sz w:val="30"/>
          <w:szCs w:val="30"/>
        </w:rPr>
        <w:t>万元，其中，基本支出</w:t>
      </w:r>
      <w:r>
        <w:rPr>
          <w:rFonts w:hint="eastAsia" w:eastAsia="仿宋_GB2312"/>
          <w:kern w:val="0"/>
          <w:sz w:val="30"/>
          <w:szCs w:val="30"/>
          <w:lang w:val="en-US" w:eastAsia="zh-CN"/>
        </w:rPr>
        <w:t>1622.22</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w:t>
      </w:r>
      <w:r>
        <w:rPr>
          <w:rFonts w:hint="eastAsia" w:ascii="仿宋_GB2312" w:hAnsi="仿宋_GB2312" w:eastAsia="仿宋_GB2312" w:cs="仿宋_GB2312"/>
          <w:kern w:val="0"/>
          <w:sz w:val="30"/>
          <w:szCs w:val="30"/>
          <w:lang w:eastAsia="zh-CN"/>
        </w:rPr>
        <w:t>事业</w:t>
      </w:r>
      <w:r>
        <w:rPr>
          <w:rFonts w:hint="eastAsia" w:ascii="仿宋_GB2312" w:hAnsi="仿宋_GB2312" w:eastAsia="仿宋_GB2312" w:cs="仿宋_GB2312"/>
          <w:kern w:val="0"/>
          <w:sz w:val="30"/>
          <w:szCs w:val="30"/>
        </w:rPr>
        <w:t>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065A"/>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1C13DBB"/>
    <w:rsid w:val="02450888"/>
    <w:rsid w:val="025737A0"/>
    <w:rsid w:val="03CD50E7"/>
    <w:rsid w:val="03F0214E"/>
    <w:rsid w:val="04CF1775"/>
    <w:rsid w:val="05616F12"/>
    <w:rsid w:val="061D49D6"/>
    <w:rsid w:val="06325B44"/>
    <w:rsid w:val="06E43398"/>
    <w:rsid w:val="0810293A"/>
    <w:rsid w:val="084A3CB5"/>
    <w:rsid w:val="0A976B9D"/>
    <w:rsid w:val="0AB77A2F"/>
    <w:rsid w:val="0C774D69"/>
    <w:rsid w:val="0F0129C9"/>
    <w:rsid w:val="0F3335F5"/>
    <w:rsid w:val="105A3BDF"/>
    <w:rsid w:val="117809B5"/>
    <w:rsid w:val="13E820E1"/>
    <w:rsid w:val="13F52A67"/>
    <w:rsid w:val="14594CAF"/>
    <w:rsid w:val="1637389D"/>
    <w:rsid w:val="16C85A74"/>
    <w:rsid w:val="18194B15"/>
    <w:rsid w:val="19314F59"/>
    <w:rsid w:val="1957779C"/>
    <w:rsid w:val="1A0B3DDD"/>
    <w:rsid w:val="1A685806"/>
    <w:rsid w:val="206C0510"/>
    <w:rsid w:val="207165AF"/>
    <w:rsid w:val="20771576"/>
    <w:rsid w:val="210F5B4E"/>
    <w:rsid w:val="21A54BF9"/>
    <w:rsid w:val="21B76D32"/>
    <w:rsid w:val="21D15350"/>
    <w:rsid w:val="22003BF0"/>
    <w:rsid w:val="23293A4E"/>
    <w:rsid w:val="23C6578F"/>
    <w:rsid w:val="242E2599"/>
    <w:rsid w:val="24367EEC"/>
    <w:rsid w:val="24721F96"/>
    <w:rsid w:val="26BF2FF3"/>
    <w:rsid w:val="273A574B"/>
    <w:rsid w:val="27530549"/>
    <w:rsid w:val="276B3960"/>
    <w:rsid w:val="27E3128E"/>
    <w:rsid w:val="2894273E"/>
    <w:rsid w:val="28D26D48"/>
    <w:rsid w:val="29F4749C"/>
    <w:rsid w:val="2B696D85"/>
    <w:rsid w:val="2D41053C"/>
    <w:rsid w:val="2D7B7E3A"/>
    <w:rsid w:val="2DA75286"/>
    <w:rsid w:val="2E105A63"/>
    <w:rsid w:val="2F6C08FA"/>
    <w:rsid w:val="2FD25EA1"/>
    <w:rsid w:val="30D85C38"/>
    <w:rsid w:val="31C6316B"/>
    <w:rsid w:val="31EE64E1"/>
    <w:rsid w:val="33E37726"/>
    <w:rsid w:val="369B6FF2"/>
    <w:rsid w:val="370F3DA1"/>
    <w:rsid w:val="39466C4F"/>
    <w:rsid w:val="39BF048F"/>
    <w:rsid w:val="3A8C77EA"/>
    <w:rsid w:val="3B3A0A32"/>
    <w:rsid w:val="3CC32D4E"/>
    <w:rsid w:val="3D7C2415"/>
    <w:rsid w:val="3FA316F2"/>
    <w:rsid w:val="421306EC"/>
    <w:rsid w:val="43131F13"/>
    <w:rsid w:val="43BA0DAC"/>
    <w:rsid w:val="43C35C3E"/>
    <w:rsid w:val="44A11F66"/>
    <w:rsid w:val="45166B3A"/>
    <w:rsid w:val="46D61E29"/>
    <w:rsid w:val="48BA0E0E"/>
    <w:rsid w:val="49130472"/>
    <w:rsid w:val="491C3FEA"/>
    <w:rsid w:val="49434613"/>
    <w:rsid w:val="4A940EA9"/>
    <w:rsid w:val="4DF0620F"/>
    <w:rsid w:val="4E1878C9"/>
    <w:rsid w:val="4F462F65"/>
    <w:rsid w:val="4FC334A8"/>
    <w:rsid w:val="50F26431"/>
    <w:rsid w:val="51464804"/>
    <w:rsid w:val="515A348C"/>
    <w:rsid w:val="51C859E6"/>
    <w:rsid w:val="524054E5"/>
    <w:rsid w:val="53A64DA2"/>
    <w:rsid w:val="564C72BA"/>
    <w:rsid w:val="57AD6BAB"/>
    <w:rsid w:val="5825432A"/>
    <w:rsid w:val="58310B0B"/>
    <w:rsid w:val="5AB4032D"/>
    <w:rsid w:val="5AEC6057"/>
    <w:rsid w:val="5C075636"/>
    <w:rsid w:val="5D936EC0"/>
    <w:rsid w:val="5DA921B4"/>
    <w:rsid w:val="5DDB63FE"/>
    <w:rsid w:val="5E7D384C"/>
    <w:rsid w:val="5E9C3AAC"/>
    <w:rsid w:val="61A11875"/>
    <w:rsid w:val="656D618F"/>
    <w:rsid w:val="65756AF5"/>
    <w:rsid w:val="65E20823"/>
    <w:rsid w:val="66447E71"/>
    <w:rsid w:val="677F2262"/>
    <w:rsid w:val="67D95CA6"/>
    <w:rsid w:val="67DD5DBE"/>
    <w:rsid w:val="68083500"/>
    <w:rsid w:val="68C77134"/>
    <w:rsid w:val="68EE7CE3"/>
    <w:rsid w:val="69335F3B"/>
    <w:rsid w:val="69C53941"/>
    <w:rsid w:val="6A0B183C"/>
    <w:rsid w:val="6A1C4EE8"/>
    <w:rsid w:val="6A8C3BB7"/>
    <w:rsid w:val="6AFE659A"/>
    <w:rsid w:val="6CAC668F"/>
    <w:rsid w:val="6DA47EEE"/>
    <w:rsid w:val="6DC71B72"/>
    <w:rsid w:val="6E2C523E"/>
    <w:rsid w:val="6F09381C"/>
    <w:rsid w:val="6FCD3E36"/>
    <w:rsid w:val="70CD1033"/>
    <w:rsid w:val="724A4A01"/>
    <w:rsid w:val="727E2764"/>
    <w:rsid w:val="72F37DB5"/>
    <w:rsid w:val="75F37398"/>
    <w:rsid w:val="761A3484"/>
    <w:rsid w:val="7632752A"/>
    <w:rsid w:val="76C22F3D"/>
    <w:rsid w:val="7779331C"/>
    <w:rsid w:val="77D46EE6"/>
    <w:rsid w:val="783D31F1"/>
    <w:rsid w:val="79910928"/>
    <w:rsid w:val="7B1E5394"/>
    <w:rsid w:val="7CC5101A"/>
    <w:rsid w:val="7E39766E"/>
    <w:rsid w:val="7E9E748B"/>
    <w:rsid w:val="7F661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rPr>
      <w:sz w:val="24"/>
    </w:rPr>
  </w:style>
  <w:style w:type="paragraph" w:styleId="7">
    <w:name w:val="annotation subject"/>
    <w:basedOn w:val="2"/>
    <w:next w:val="2"/>
    <w:semiHidden/>
    <w:qFormat/>
    <w:uiPriority w:val="0"/>
    <w:rPr>
      <w:b/>
      <w:bCs/>
    </w:rPr>
  </w:style>
  <w:style w:type="character" w:styleId="10">
    <w:name w:val="Hyperlink"/>
    <w:basedOn w:val="9"/>
    <w:unhideWhenUsed/>
    <w:qFormat/>
    <w:uiPriority w:val="0"/>
    <w:rPr>
      <w:color w:val="0000FF"/>
      <w:u w:val="single"/>
    </w:rPr>
  </w:style>
  <w:style w:type="character" w:styleId="11">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3</TotalTime>
  <ScaleCrop>false</ScaleCrop>
  <LinksUpToDate>false</LinksUpToDate>
  <CharactersWithSpaces>1255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2024-06-19T09:23:33Z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D51C3B0FD096477A99FF92273AEE3B11</vt:lpwstr>
  </property>
</Properties>
</file>